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8F7CA0" w14:textId="07A69AD3" w:rsidR="00E6243B" w:rsidRPr="00E6243B" w:rsidRDefault="00E6243B" w:rsidP="00E6243B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243B">
        <w:rPr>
          <w:rFonts w:ascii="Times New Roman" w:hAnsi="Times New Roman" w:cs="Times New Roman"/>
          <w:b/>
          <w:sz w:val="24"/>
          <w:szCs w:val="24"/>
        </w:rPr>
        <w:t>МИОПИЯ</w:t>
      </w:r>
    </w:p>
    <w:p w14:paraId="39AAC1D0" w14:textId="13386634" w:rsidR="00E90AA8" w:rsidRDefault="00E6243B" w:rsidP="00E90A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3B">
        <w:rPr>
          <w:rFonts w:ascii="Times New Roman" w:hAnsi="Times New Roman" w:cs="Times New Roman"/>
          <w:sz w:val="24"/>
          <w:szCs w:val="24"/>
        </w:rPr>
        <w:t>Близорукость – самый распространенный оптический дефект. В близоруком глазу лучи преломляются сильнее, чем нужно, и в результате изображение формируется не на сетчатке (воспринимающей структуре глаза), а перед ней и становится нечетким, размытым. В последние 20 лет частота близорукости во всем мире катастрофически возросла. У молодых людей в США и Европе она достигает 40-45%.  В нашей стране она наблюдается у 30% выпускников школ, а в гимназиях и лицеях этот показатель приближается к 50%.  Нельзя не заметить, что в самом компьютеризированном и быстро обучающемся регионе мира – в Юго-Восточной Азии (Тайвань, Гонг-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Конг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, Сингапур), частота близорукости превышает 70%. И в таком «всплеске» заболеваемости нельзя винить только наследственность – это противоречит законам генетики. Очевидно, что свой вредоносный вклад вносят различные факторы внешней среды. Это и ранняя повышенная зрительная нагрузка, и различные электронные средства информации, игровые устройства, малоподвижный образ жизни детей – где вы, наши шумные и долгие дворовые игры?  Определенную роль в этом играет и общее состояние здоровья, соответствующее норме, в лучшем случае, у 10% детей, а также плохая экология. Факторов, и внешних, и внутренних, как видите, много, но для того, чтобы привести к развитию близорукости, они должны реализоваться через какой-то субстрат в самом глазу. И таким субстратом является ослабленная аккомодация – приспособительный механизм, позволяющий здоровому человеку четко видеть на любом расстоянии, и вдаль, и вблизи. Именно расстройство аккомодации было выделено, как «слабое звено» в происхождении близорукости профессором Э.С. Аветисовым почти 60 лет назад. </w:t>
      </w:r>
    </w:p>
    <w:p w14:paraId="3E92BD79" w14:textId="6CC2ACE8" w:rsidR="0016757B" w:rsidRDefault="0016757B" w:rsidP="0016757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57B">
        <w:rPr>
          <w:rFonts w:ascii="Times New Roman" w:hAnsi="Times New Roman" w:cs="Times New Roman"/>
          <w:sz w:val="24"/>
          <w:szCs w:val="24"/>
        </w:rPr>
        <w:t>Меры профилактики раннего развития миопии: соблюдение режима зрительной нагрузки - эргономичных стереотипов выполнения зрительной работы вблизи;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757B">
        <w:rPr>
          <w:rFonts w:ascii="Times New Roman" w:hAnsi="Times New Roman" w:cs="Times New Roman"/>
          <w:sz w:val="24"/>
          <w:szCs w:val="24"/>
        </w:rPr>
        <w:t xml:space="preserve">домашние упражнения для тренировки аккомодации в том числе использование очков-тренажеров, занятия физкультурой и спортом, пребывание на открытом воздухе не менее 90 минут в день в светлое время </w:t>
      </w:r>
      <w:r>
        <w:rPr>
          <w:rFonts w:ascii="Times New Roman" w:hAnsi="Times New Roman" w:cs="Times New Roman"/>
          <w:sz w:val="24"/>
          <w:szCs w:val="24"/>
        </w:rPr>
        <w:t xml:space="preserve">суток, достаточная продолжительность ночного сна,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своевременное назначение специальных очков или контактных линз при наличии медицинских показаний.</w:t>
      </w:r>
    </w:p>
    <w:p w14:paraId="5AC82B2E" w14:textId="77777777" w:rsidR="00E90AA8" w:rsidRDefault="00E6243B" w:rsidP="00E90A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3B">
        <w:rPr>
          <w:rFonts w:ascii="Times New Roman" w:hAnsi="Times New Roman" w:cs="Times New Roman"/>
          <w:sz w:val="24"/>
          <w:szCs w:val="24"/>
        </w:rPr>
        <w:t xml:space="preserve">Для профилактики развития близорукости специалистами НМИЦ глазных болезней им. Гельмгольца был разработан метод «постоянной слабо миопической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дефокусировки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>» при помощи специально подобранных очков. Детям с высоким риском возникновения миопии (особенно это касается детей близоруких родителей), с признаками «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предмиопии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» или с начальной близорукостью подбирают очки для постоянного ношения (в первом случае «плюсовые», во втором – ежедневно чередующиеся «плюсовые на один глаз и слабо «минусовые» на другой), так чтобы создать в глазу слабо миопический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дефокус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. Силу стекол рассчитывают и подбирают индивидуально, чтобы обеспечить достаточную для жизни и учебы остроту зрения вдаль. </w:t>
      </w:r>
    </w:p>
    <w:p w14:paraId="07DFE88E" w14:textId="28897E8E" w:rsidR="00E90AA8" w:rsidRDefault="00E6243B" w:rsidP="00E90A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3B">
        <w:rPr>
          <w:rFonts w:ascii="Times New Roman" w:hAnsi="Times New Roman" w:cs="Times New Roman"/>
          <w:sz w:val="24"/>
          <w:szCs w:val="24"/>
        </w:rPr>
        <w:t xml:space="preserve">Еще один оптический метод коррекции и контроля прогрессирования миопии слабой и средней степени – очки </w:t>
      </w:r>
      <w:r w:rsidR="00E90AA8">
        <w:rPr>
          <w:rFonts w:ascii="Times New Roman" w:hAnsi="Times New Roman" w:cs="Times New Roman"/>
          <w:sz w:val="24"/>
          <w:szCs w:val="24"/>
        </w:rPr>
        <w:t xml:space="preserve">или мягкие контактные линзы </w:t>
      </w:r>
      <w:r w:rsidRPr="00E6243B">
        <w:rPr>
          <w:rFonts w:ascii="Times New Roman" w:hAnsi="Times New Roman" w:cs="Times New Roman"/>
          <w:sz w:val="24"/>
          <w:szCs w:val="24"/>
        </w:rPr>
        <w:t xml:space="preserve">корригирующие индивидуальные с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трансфокальными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линзами для коррекции центрального зрения и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перифок</w:t>
      </w:r>
      <w:r w:rsidR="00E90AA8">
        <w:rPr>
          <w:rFonts w:ascii="Times New Roman" w:hAnsi="Times New Roman" w:cs="Times New Roman"/>
          <w:sz w:val="24"/>
          <w:szCs w:val="24"/>
        </w:rPr>
        <w:t>а</w:t>
      </w:r>
      <w:r w:rsidRPr="00E6243B">
        <w:rPr>
          <w:rFonts w:ascii="Times New Roman" w:hAnsi="Times New Roman" w:cs="Times New Roman"/>
          <w:sz w:val="24"/>
          <w:szCs w:val="24"/>
        </w:rPr>
        <w:t>льным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усилением преломления на периферии для постоянного ношения. </w:t>
      </w:r>
      <w:r w:rsidR="006A296B">
        <w:rPr>
          <w:rFonts w:ascii="Times New Roman" w:hAnsi="Times New Roman" w:cs="Times New Roman"/>
          <w:sz w:val="24"/>
          <w:szCs w:val="24"/>
        </w:rPr>
        <w:t>По результатам проведенных исследований н</w:t>
      </w:r>
      <w:r w:rsidR="006A296B" w:rsidRPr="006A296B">
        <w:rPr>
          <w:rFonts w:ascii="Times New Roman" w:hAnsi="Times New Roman" w:cs="Times New Roman"/>
          <w:sz w:val="24"/>
          <w:szCs w:val="24"/>
        </w:rPr>
        <w:t xml:space="preserve">ошение очков с линзами очковыми для коррекции зрения </w:t>
      </w:r>
      <w:proofErr w:type="spellStart"/>
      <w:r w:rsidR="006A296B" w:rsidRPr="006A296B">
        <w:rPr>
          <w:rFonts w:ascii="Times New Roman" w:hAnsi="Times New Roman" w:cs="Times New Roman"/>
          <w:sz w:val="24"/>
          <w:szCs w:val="24"/>
        </w:rPr>
        <w:t>однофокалънъгми</w:t>
      </w:r>
      <w:proofErr w:type="spellEnd"/>
      <w:r w:rsidR="006A296B" w:rsidRPr="006A296B">
        <w:rPr>
          <w:rFonts w:ascii="Times New Roman" w:hAnsi="Times New Roman" w:cs="Times New Roman"/>
          <w:sz w:val="24"/>
          <w:szCs w:val="24"/>
        </w:rPr>
        <w:t xml:space="preserve">, в конструкцию которых встроены кольца </w:t>
      </w:r>
      <w:proofErr w:type="spellStart"/>
      <w:r w:rsidR="006A296B" w:rsidRPr="006A296B">
        <w:rPr>
          <w:rFonts w:ascii="Times New Roman" w:hAnsi="Times New Roman" w:cs="Times New Roman"/>
          <w:sz w:val="24"/>
          <w:szCs w:val="24"/>
        </w:rPr>
        <w:t>высокоасферичных</w:t>
      </w:r>
      <w:proofErr w:type="spellEnd"/>
      <w:r w:rsidR="006A296B" w:rsidRPr="006A296B">
        <w:rPr>
          <w:rFonts w:ascii="Times New Roman" w:hAnsi="Times New Roman" w:cs="Times New Roman"/>
          <w:sz w:val="24"/>
          <w:szCs w:val="24"/>
        </w:rPr>
        <w:t xml:space="preserve"> микролинз, за два года наблюдения за китайскими детьми снизило прогрессирование миопии до 67%. У российских детей прогрессирование миопии за два года наблюдения снизилось на 79%. </w:t>
      </w:r>
      <w:r w:rsidR="0016757B">
        <w:rPr>
          <w:rFonts w:ascii="Times New Roman" w:hAnsi="Times New Roman" w:cs="Times New Roman"/>
          <w:sz w:val="24"/>
          <w:szCs w:val="24"/>
        </w:rPr>
        <w:t xml:space="preserve">Назначение очков с линзами данной конструкции детям с высоким </w:t>
      </w:r>
      <w:r w:rsidR="0016757B">
        <w:rPr>
          <w:rFonts w:ascii="Times New Roman" w:hAnsi="Times New Roman" w:cs="Times New Roman"/>
          <w:sz w:val="24"/>
          <w:szCs w:val="24"/>
        </w:rPr>
        <w:lastRenderedPageBreak/>
        <w:t>риском возникновения миопии и/или с признаками «</w:t>
      </w:r>
      <w:proofErr w:type="spellStart"/>
      <w:r w:rsidR="0016757B">
        <w:rPr>
          <w:rFonts w:ascii="Times New Roman" w:hAnsi="Times New Roman" w:cs="Times New Roman"/>
          <w:sz w:val="24"/>
          <w:szCs w:val="24"/>
        </w:rPr>
        <w:t>предмиопии</w:t>
      </w:r>
      <w:proofErr w:type="spellEnd"/>
      <w:r w:rsidR="0016757B">
        <w:rPr>
          <w:rFonts w:ascii="Times New Roman" w:hAnsi="Times New Roman" w:cs="Times New Roman"/>
          <w:sz w:val="24"/>
          <w:szCs w:val="24"/>
        </w:rPr>
        <w:t>» для постоянного ношения также рекомендовано для профилактики развития миопии.</w:t>
      </w:r>
      <w:r w:rsidR="0016757B" w:rsidRPr="001675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6DA357" w14:textId="4C2D7B4C" w:rsidR="00E90AA8" w:rsidRDefault="00E6243B" w:rsidP="00E90A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3B">
        <w:rPr>
          <w:rFonts w:ascii="Times New Roman" w:hAnsi="Times New Roman" w:cs="Times New Roman"/>
          <w:sz w:val="24"/>
          <w:szCs w:val="24"/>
        </w:rPr>
        <w:t xml:space="preserve">Эффективный метод контроля прогрессирования близорукости – метод ночной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ортокератологической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коррекции разработан в США, но быстро разошелся по всему миру и вот уже более 10 лет применяется в НМИЦ им. Гельмгольца и других клиниках России. В буквальном переводе «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ортокератология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» означает «исправление роговицы». На самом деле, эти линзы помогают «подогнать» форму и преломляющую силу роговицы под имеющуюся степень миопии так, чтобы «дальнозоркая» роговица исправляла обусловленную избыточной длиной глаза близорукость. Достигается это особой, сложной формой линз, которые в течение ночи оказывают запланированное дозированное воздействие на переднюю поверхность роговицы, преимущественно на ее эпителиальный слой. Результат этого воздействия сохраняется в течение всего дня и вновь поддерживается линзой ночью, что и позволяет обходиться днем без какой-либо коррекции и иметь остроту зрения, близкую или равную 100%. Сам по себе результат прекрасный, позволяющий заниматься спортом и другими активными видами деятельности. Кроме того,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ортокератология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тормозит прогрессирование близорукости. Безусловно, дети должны находиться под наблюдением: необходимо ультразвуковое исследование, позволяющее судить о прогрессировании миопии по изменению длины глаза, а также микроскопия роговицы, позволяющая выявить возможные осложнения еще до их клинического проявления. В случае обнаруженного прогрессирования близорукости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ортокератологию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можно сочетать с другими видами стабилизирующего лечения: аппаратного, медикаментозного и/или хирургического. Если после достижения 18-20 лет при стабильной близорукости пациент захочет прекратить ношение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ортокератологических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линз и сделать корригирующую операцию – ничто ему не помешает. Нужно только прекратить пользоваться линзами, дождаться, под наблюдением врача, возврата своей близорукости и, затем, исправлять ее одним из существующих лазерных хирургических методов. </w:t>
      </w:r>
    </w:p>
    <w:p w14:paraId="36FD1382" w14:textId="77777777" w:rsidR="00E90AA8" w:rsidRDefault="00E6243B" w:rsidP="00E90A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3B">
        <w:rPr>
          <w:rFonts w:ascii="Times New Roman" w:hAnsi="Times New Roman" w:cs="Times New Roman"/>
          <w:sz w:val="24"/>
          <w:szCs w:val="24"/>
        </w:rPr>
        <w:t xml:space="preserve">Помимо оптических методов, для лечения </w:t>
      </w:r>
      <w:r w:rsidR="00E90AA8">
        <w:rPr>
          <w:rFonts w:ascii="Times New Roman" w:hAnsi="Times New Roman" w:cs="Times New Roman"/>
          <w:sz w:val="24"/>
          <w:szCs w:val="24"/>
        </w:rPr>
        <w:t xml:space="preserve">нарушений аккомодации при </w:t>
      </w:r>
      <w:r w:rsidRPr="00E6243B">
        <w:rPr>
          <w:rFonts w:ascii="Times New Roman" w:hAnsi="Times New Roman" w:cs="Times New Roman"/>
          <w:sz w:val="24"/>
          <w:szCs w:val="24"/>
        </w:rPr>
        <w:t xml:space="preserve">прогрессирующей близорукости широко применяются аппаратные методы лечения. Эффективен комплекс аппаратного лечения близорукости, включающий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лазерстимуляцию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цилиарной зоны, оптико-рефлекторные тренировки,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магнитофорез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2,5%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фенилэфрина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>, иглорефлексотерапию, массаж шейно</w:t>
      </w:r>
      <w:r w:rsidR="00E90AA8">
        <w:rPr>
          <w:rFonts w:ascii="Times New Roman" w:hAnsi="Times New Roman" w:cs="Times New Roman"/>
          <w:sz w:val="24"/>
          <w:szCs w:val="24"/>
        </w:rPr>
        <w:t>-</w:t>
      </w:r>
      <w:r w:rsidRPr="00E6243B">
        <w:rPr>
          <w:rFonts w:ascii="Times New Roman" w:hAnsi="Times New Roman" w:cs="Times New Roman"/>
          <w:sz w:val="24"/>
          <w:szCs w:val="24"/>
        </w:rPr>
        <w:t xml:space="preserve">воротниковой зоны. После лечения нормализуется тонус и повышается работоспособность цилиарной мышцы, улучшается гемодинамика глаза, замедляется темп прогрессирования близорукости. </w:t>
      </w:r>
    </w:p>
    <w:p w14:paraId="28A2A707" w14:textId="02EE8386" w:rsidR="0016757B" w:rsidRDefault="00E6243B" w:rsidP="0016757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3B">
        <w:rPr>
          <w:rFonts w:ascii="Times New Roman" w:hAnsi="Times New Roman" w:cs="Times New Roman"/>
          <w:sz w:val="24"/>
          <w:szCs w:val="24"/>
        </w:rPr>
        <w:t xml:space="preserve">Однако не всем детям удается затормозить прогрессирование близорукости. В ряде случаев, несмотря на оптические методы и аппаратное лечение, близорукость продолжает прогрессировать. В этих случаях применяется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склеропластика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. Разработаны методики большой и малой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склеропластики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. При малой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склеропластике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укрепляется самый податливый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верхне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– наружный участок склеры. Для проведения малой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склеропластики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используется синтетический материал. Большая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склеропластика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проводится при высокой близорукости с быстрым темпом прогрессирования и предусматривает укрепление заднего полюса склеры. </w:t>
      </w:r>
    </w:p>
    <w:p w14:paraId="1502A492" w14:textId="25E236D3" w:rsidR="00E6243B" w:rsidRDefault="00E6243B" w:rsidP="00E90A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3B">
        <w:rPr>
          <w:rFonts w:ascii="Times New Roman" w:hAnsi="Times New Roman" w:cs="Times New Roman"/>
          <w:sz w:val="24"/>
          <w:szCs w:val="24"/>
        </w:rPr>
        <w:t>Если у ребенка выявлена близорукость, или он входит в группу риска по развитию близорукости, требуется наблюдение офтальмолога не реже 1 раза в 6 месяцев.</w:t>
      </w:r>
    </w:p>
    <w:sectPr w:rsidR="00E62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013C8" w14:textId="77777777" w:rsidR="005F1B3C" w:rsidRDefault="005F1B3C" w:rsidP="00E6243B">
      <w:pPr>
        <w:spacing w:after="0" w:line="240" w:lineRule="auto"/>
      </w:pPr>
      <w:r>
        <w:separator/>
      </w:r>
    </w:p>
  </w:endnote>
  <w:endnote w:type="continuationSeparator" w:id="0">
    <w:p w14:paraId="7B651801" w14:textId="77777777" w:rsidR="005F1B3C" w:rsidRDefault="005F1B3C" w:rsidP="00E62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8A661B" w14:textId="77777777" w:rsidR="005F1B3C" w:rsidRDefault="005F1B3C" w:rsidP="00E6243B">
      <w:pPr>
        <w:spacing w:after="0" w:line="240" w:lineRule="auto"/>
      </w:pPr>
      <w:r>
        <w:separator/>
      </w:r>
    </w:p>
  </w:footnote>
  <w:footnote w:type="continuationSeparator" w:id="0">
    <w:p w14:paraId="0B7C86D6" w14:textId="77777777" w:rsidR="005F1B3C" w:rsidRDefault="005F1B3C" w:rsidP="00E624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E5B"/>
    <w:rsid w:val="0016757B"/>
    <w:rsid w:val="00261E97"/>
    <w:rsid w:val="002974D1"/>
    <w:rsid w:val="003C4C8B"/>
    <w:rsid w:val="00522D87"/>
    <w:rsid w:val="005F1B3C"/>
    <w:rsid w:val="00604D3F"/>
    <w:rsid w:val="006A296B"/>
    <w:rsid w:val="007466D4"/>
    <w:rsid w:val="00C47E5B"/>
    <w:rsid w:val="00DC6F5D"/>
    <w:rsid w:val="00E6243B"/>
    <w:rsid w:val="00E9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6C8C9"/>
  <w15:chartTrackingRefBased/>
  <w15:docId w15:val="{DCDD9AE3-C75F-4CA3-B305-D2642786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243B"/>
  </w:style>
  <w:style w:type="paragraph" w:styleId="a5">
    <w:name w:val="footer"/>
    <w:basedOn w:val="a"/>
    <w:link w:val="a6"/>
    <w:uiPriority w:val="99"/>
    <w:unhideWhenUsed/>
    <w:rsid w:val="00E62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624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Владимировна Усова</dc:creator>
  <cp:keywords/>
  <dc:description/>
  <cp:lastModifiedBy>Вера Владимировна Усова</cp:lastModifiedBy>
  <cp:revision>4</cp:revision>
  <dcterms:created xsi:type="dcterms:W3CDTF">2026-10-01T06:09:00Z</dcterms:created>
  <dcterms:modified xsi:type="dcterms:W3CDTF">2026-10-02T05:37:00Z</dcterms:modified>
</cp:coreProperties>
</file>